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pPr>
    </w:p>
    <w:p/>
    <w:p/>
    <w:p>
      <w:pPr>
        <w:spacing w:line="600" w:lineRule="auto"/>
        <w:jc w:val="center"/>
        <w:rPr>
          <w:rFonts w:ascii="黑体" w:hAnsi="黑体" w:eastAsia="黑体" w:cs="黑体"/>
          <w:sz w:val="48"/>
          <w:szCs w:val="48"/>
        </w:rPr>
      </w:pPr>
      <w:r>
        <w:rPr>
          <w:rFonts w:hint="eastAsia" w:ascii="黑体" w:hAnsi="黑体" w:eastAsia="黑体" w:cs="Times New Roman"/>
          <w:kern w:val="0"/>
          <w:sz w:val="48"/>
          <w:szCs w:val="48"/>
        </w:rPr>
        <w:t>华东材料有限公司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砂石材料竞标采购实施办法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（2022版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Pr>
        <w:spacing w:line="600" w:lineRule="auto"/>
        <w:jc w:val="center"/>
        <w:rPr>
          <w:rFonts w:ascii="宋体" w:hAnsi="宋体" w:eastAsia="宋体" w:cs="宋体"/>
          <w:b/>
          <w:bCs/>
          <w:sz w:val="44"/>
          <w:szCs w:val="44"/>
        </w:rPr>
        <w:sectPr>
          <w:headerReference r:id="rId3" w:type="default"/>
          <w:pgSz w:w="11906" w:h="16838"/>
          <w:pgMar w:top="1280" w:right="1800" w:bottom="1440" w:left="1800" w:header="651" w:footer="992" w:gutter="0"/>
          <w:pgNumType w:fmt="numberInDash" w:start="1"/>
          <w:cols w:space="425" w:num="1"/>
          <w:docGrid w:type="lines" w:linePitch="312" w:charSpace="0"/>
        </w:sectPr>
      </w:pPr>
      <w:r>
        <w:rPr>
          <w:rFonts w:hint="eastAsia" w:ascii="黑体" w:hAnsi="黑体" w:eastAsia="黑体" w:cs="Times New Roman"/>
          <w:kern w:val="0"/>
          <w:sz w:val="48"/>
          <w:szCs w:val="48"/>
        </w:rPr>
        <w:t>华东材料有限公司</w:t>
      </w:r>
    </w:p>
    <w:p>
      <w:pPr>
        <w:spacing w:line="600" w:lineRule="auto"/>
        <w:jc w:val="center"/>
        <w:rPr>
          <w:rFonts w:ascii="黑体" w:hAnsi="黑体" w:eastAsia="黑体" w:cs="黑体"/>
          <w:sz w:val="48"/>
          <w:szCs w:val="48"/>
        </w:rPr>
      </w:pPr>
      <w:r>
        <w:rPr>
          <w:rFonts w:hint="eastAsia" w:ascii="黑体" w:hAnsi="黑体" w:eastAsia="黑体" w:cs="Times New Roman"/>
          <w:kern w:val="0"/>
          <w:sz w:val="48"/>
          <w:szCs w:val="48"/>
        </w:rPr>
        <w:t>华东材料有限公司</w:t>
      </w:r>
    </w:p>
    <w:p>
      <w:pPr>
        <w:widowControl/>
        <w:jc w:val="center"/>
        <w:rPr>
          <w:color w:val="FF0000"/>
        </w:rPr>
      </w:pPr>
      <w:r>
        <w:rPr>
          <w:rFonts w:hint="eastAsia" w:ascii="宋体" w:hAnsi="宋体" w:eastAsia="宋体" w:cs="宋体"/>
          <w:b/>
          <w:bCs/>
          <w:sz w:val="44"/>
          <w:szCs w:val="44"/>
        </w:rPr>
        <w:t>砂石材料竞标采购实施办法（2022版）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rPr>
        <w:t>根据华东材料有限公司（以下简称“华东材料”）经营管理需要，</w:t>
      </w:r>
      <w:r>
        <w:rPr>
          <w:rFonts w:hint="eastAsia" w:ascii="仿宋_GB2312" w:hAnsi="仿宋_GB2312" w:eastAsia="仿宋_GB2312" w:cs="仿宋_GB2312"/>
          <w:color w:val="auto"/>
          <w:sz w:val="32"/>
          <w:szCs w:val="32"/>
        </w:rPr>
        <w:t>进一步提高公司砂石材料采购管理，充分体现公开、</w:t>
      </w:r>
      <w:r>
        <w:rPr>
          <w:rFonts w:hint="eastAsia" w:ascii="仿宋_GB2312" w:hAnsi="仿宋_GB2312" w:eastAsia="仿宋_GB2312" w:cs="仿宋_GB2312"/>
          <w:sz w:val="32"/>
          <w:szCs w:val="32"/>
        </w:rPr>
        <w:t>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二、公司简介</w:t>
      </w:r>
    </w:p>
    <w:p>
      <w:pPr>
        <w:adjustRightInd w:val="0"/>
        <w:snapToGrid w:val="0"/>
        <w:spacing w:line="600" w:lineRule="exact"/>
        <w:ind w:firstLine="640" w:firstLineChars="200"/>
        <w:rPr>
          <w:rFonts w:ascii="仿宋_GB2312" w:hAnsi="Times New Roman" w:eastAsia="仿宋_GB2312" w:cs="Times New Roman"/>
          <w:color w:val="auto"/>
          <w:sz w:val="32"/>
          <w:szCs w:val="32"/>
        </w:rPr>
      </w:pPr>
      <w:r>
        <w:rPr>
          <w:rFonts w:hint="eastAsia" w:ascii="仿宋" w:hAnsi="仿宋" w:eastAsia="仿宋" w:cs="仿宋"/>
          <w:color w:val="auto"/>
          <w:sz w:val="32"/>
          <w:szCs w:val="32"/>
        </w:rPr>
        <w:t>华东材料有限公司</w:t>
      </w:r>
      <w:r>
        <w:rPr>
          <w:rFonts w:hint="eastAsia" w:ascii="仿宋_GB2312" w:hAnsi="Times New Roman" w:eastAsia="仿宋_GB2312" w:cs="Times New Roman"/>
          <w:color w:val="auto"/>
          <w:sz w:val="32"/>
          <w:szCs w:val="32"/>
        </w:rPr>
        <w:t>（以下简称“公司”）是根据中国建材集团、中国建材股份和新天山水泥业务整合而设立的商混、骨料区域型总部公司，</w:t>
      </w:r>
      <w:r>
        <w:rPr>
          <w:rFonts w:hint="eastAsia" w:ascii="仿宋" w:hAnsi="仿宋" w:eastAsia="仿宋" w:cs="仿宋"/>
          <w:color w:val="auto"/>
          <w:sz w:val="32"/>
          <w:szCs w:val="32"/>
        </w:rPr>
        <w:t>于2022年3月29日注册成立，注册资本50亿元，</w:t>
      </w:r>
      <w:r>
        <w:rPr>
          <w:rFonts w:hint="eastAsia" w:ascii="仿宋_GB2312" w:hAnsi="Times New Roman" w:eastAsia="仿宋_GB2312" w:cs="Times New Roman"/>
          <w:color w:val="auto"/>
          <w:sz w:val="32"/>
          <w:szCs w:val="32"/>
        </w:rPr>
        <w:t>业务与区划范围主要包含原南方水泥、中联水泥、中材水泥、天山股份位于南京、苏州、无锡、滁州、合肥五市的商混、沿江矿山骨料，以及配套参股的新材料项目，并逐步发展沿江港口业务。现有商混年产能5000万方，矿山资源储量8.8亿吨，骨料年产能6500万吨。</w:t>
      </w:r>
    </w:p>
    <w:p>
      <w:pPr>
        <w:adjustRightInd w:val="0"/>
        <w:snapToGrid w:val="0"/>
        <w:spacing w:line="600" w:lineRule="exact"/>
        <w:ind w:firstLine="640" w:firstLineChars="200"/>
        <w:rPr>
          <w:rFonts w:ascii="仿宋" w:hAnsi="仿宋" w:eastAsia="仿宋" w:cs="仿宋"/>
          <w:color w:val="auto"/>
          <w:sz w:val="32"/>
          <w:szCs w:val="32"/>
        </w:rPr>
      </w:pPr>
      <w:r>
        <w:rPr>
          <w:rFonts w:hint="eastAsia" w:ascii="仿宋_GB2312" w:hAnsi="Times New Roman" w:eastAsia="仿宋_GB2312" w:cs="Times New Roman"/>
          <w:color w:val="auto"/>
          <w:sz w:val="32"/>
          <w:szCs w:val="32"/>
        </w:rPr>
        <w:t>公司秉承中国建材“善用资源、服务建设”的核心理念，“材料创造美好世界”的企业使命，倡导“创新、绩效、和谐、责任”的核心价值观，致力于为客户提供高品质绿色环保的建材产品。</w:t>
      </w:r>
    </w:p>
    <w:p>
      <w:pPr>
        <w:adjustRightInd w:val="0"/>
        <w:snapToGrid w:val="0"/>
        <w:spacing w:line="60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公司紧扣“建设世界一流商混骨料专业化公司”的战略目标，瞄准长三角经济圈这一国家经济热点地区，布局长江中下游，通过长江运输物流实现上游骨料基地与下游商混企业的产业对接，联动发展，进一步打造中国建材和新天山水泥沿江和华东地区重要战略基地和核心利润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1.竞标采购产品主要为混凝土生产</w:t>
      </w:r>
      <w:r>
        <w:rPr>
          <w:rFonts w:hint="eastAsia" w:ascii="仿宋_GB2312" w:hAnsi="仿宋_GB2312" w:eastAsia="仿宋_GB2312" w:cs="仿宋_GB2312"/>
          <w:color w:val="auto"/>
          <w:sz w:val="32"/>
          <w:szCs w:val="32"/>
          <w:lang w:val="en-US" w:eastAsia="zh-CN"/>
        </w:rPr>
        <w:t>成员</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sz w:val="32"/>
          <w:szCs w:val="32"/>
        </w:rPr>
        <w:t>所需的砂、石材料。</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2.砂石产品质量应执行</w:t>
      </w:r>
      <w:r>
        <w:rPr>
          <w:rFonts w:hint="eastAsia" w:ascii="仿宋_GB2312" w:hAnsi="仿宋_GB2312" w:eastAsia="仿宋_GB2312" w:cs="仿宋_GB2312"/>
          <w:sz w:val="32"/>
          <w:szCs w:val="32"/>
          <w:lang w:val="en-US" w:eastAsia="zh-CN"/>
        </w:rPr>
        <w:t>南京中联混凝土有限</w:t>
      </w:r>
      <w:r>
        <w:rPr>
          <w:rFonts w:hint="eastAsia" w:ascii="仿宋_GB2312" w:hAnsi="仿宋_GB2312" w:eastAsia="仿宋_GB2312" w:cs="仿宋_GB2312"/>
          <w:sz w:val="32"/>
          <w:szCs w:val="32"/>
        </w:rPr>
        <w:t>公司内部</w:t>
      </w:r>
      <w:r>
        <w:rPr>
          <w:rFonts w:hint="eastAsia" w:ascii="仿宋_GB2312" w:hAnsi="仿宋_GB2312" w:eastAsia="仿宋_GB2312" w:cs="仿宋_GB2312"/>
          <w:color w:val="auto"/>
          <w:sz w:val="32"/>
          <w:szCs w:val="32"/>
        </w:rPr>
        <w:t>《原材料验收管理制度》</w:t>
      </w:r>
      <w:r>
        <w:rPr>
          <w:rFonts w:hint="eastAsia" w:ascii="仿宋_GB2312" w:hAnsi="仿宋_GB2312" w:eastAsia="仿宋_GB2312" w:cs="仿宋_GB2312"/>
          <w:sz w:val="32"/>
          <w:szCs w:val="32"/>
        </w:rPr>
        <w:t>，并符合现行行业标准《普通混凝土用砂、石质量及检验方法》JGJ52及其他相关国家、行业、地方标准。主要控制指标如下：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序号</w:t>
            </w:r>
          </w:p>
        </w:tc>
        <w:tc>
          <w:tcPr>
            <w:tcW w:w="1366"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项目</w:t>
            </w:r>
          </w:p>
        </w:tc>
        <w:tc>
          <w:tcPr>
            <w:tcW w:w="903"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天然砂内控</w:t>
            </w:r>
            <w:r>
              <w:rPr>
                <w:rFonts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spacing w:line="288" w:lineRule="auto"/>
              <w:jc w:val="center"/>
              <w:rPr>
                <w:rFonts w:asciiTheme="minorEastAsia" w:hAnsiTheme="minorEastAsia"/>
                <w:sz w:val="24"/>
                <w:szCs w:val="24"/>
              </w:rPr>
            </w:pPr>
          </w:p>
        </w:tc>
        <w:tc>
          <w:tcPr>
            <w:tcW w:w="1366" w:type="dxa"/>
            <w:vMerge w:val="continue"/>
            <w:vAlign w:val="center"/>
          </w:tcPr>
          <w:p>
            <w:pPr>
              <w:spacing w:line="288" w:lineRule="auto"/>
              <w:jc w:val="center"/>
              <w:rPr>
                <w:rFonts w:asciiTheme="minorEastAsia" w:hAnsiTheme="minorEastAsia"/>
                <w:sz w:val="24"/>
                <w:szCs w:val="24"/>
              </w:rPr>
            </w:pPr>
          </w:p>
        </w:tc>
        <w:tc>
          <w:tcPr>
            <w:tcW w:w="903" w:type="dxa"/>
            <w:vMerge w:val="continue"/>
            <w:vAlign w:val="center"/>
          </w:tcPr>
          <w:p>
            <w:pPr>
              <w:spacing w:line="288" w:lineRule="auto"/>
              <w:jc w:val="center"/>
              <w:rPr>
                <w:rFonts w:asciiTheme="minorEastAsia" w:hAnsiTheme="minorEastAsia"/>
                <w:sz w:val="24"/>
                <w:szCs w:val="24"/>
              </w:rPr>
            </w:pP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w:t>
            </w:r>
            <w:r>
              <w:rPr>
                <w:rFonts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普通</w:t>
            </w:r>
            <w:r>
              <w:rPr>
                <w:rFonts w:asciiTheme="minorEastAsia" w:hAnsiTheme="minorEastAsia"/>
                <w:sz w:val="24"/>
                <w:szCs w:val="24"/>
              </w:rPr>
              <w:t>砂</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细度模数</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2</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级配</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II区</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175"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3</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mm</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4</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含泥量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泥块含量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6</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氯离子</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5382" w:type="dxa"/>
            <w:gridSpan w:val="4"/>
            <w:vAlign w:val="center"/>
          </w:tcPr>
          <w:p>
            <w:pPr>
              <w:spacing w:line="288" w:lineRule="auto"/>
              <w:jc w:val="center"/>
              <w:rPr>
                <w:rFonts w:asciiTheme="minorEastAsia" w:hAnsiTheme="minorEastAsia"/>
                <w:sz w:val="24"/>
                <w:szCs w:val="24"/>
              </w:rPr>
            </w:pPr>
            <w:r>
              <w:rPr>
                <w:rFonts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spacing w:line="288" w:lineRule="auto"/>
              <w:jc w:val="left"/>
              <w:rPr>
                <w:rFonts w:asciiTheme="minorEastAsia" w:hAnsiTheme="minorEastAsia"/>
                <w:sz w:val="24"/>
                <w:szCs w:val="24"/>
              </w:rPr>
            </w:pPr>
            <w:r>
              <w:rPr>
                <w:rFonts w:hint="eastAsia" w:asciiTheme="minorEastAsia" w:hAnsiTheme="minorEastAsia"/>
                <w:sz w:val="24"/>
                <w:szCs w:val="24"/>
              </w:rPr>
              <w:t>注：1、不得为海砂、风化砂。</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numPr>
          <w:ilvl w:val="0"/>
          <w:numId w:val="0"/>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spacing w:line="288" w:lineRule="auto"/>
              <w:jc w:val="center"/>
              <w:rPr>
                <w:sz w:val="24"/>
                <w:szCs w:val="24"/>
              </w:rPr>
            </w:pPr>
            <w:r>
              <w:rPr>
                <w:sz w:val="24"/>
                <w:szCs w:val="24"/>
              </w:rPr>
              <w:t>序号</w:t>
            </w:r>
          </w:p>
        </w:tc>
        <w:tc>
          <w:tcPr>
            <w:tcW w:w="2497" w:type="dxa"/>
            <w:vMerge w:val="restart"/>
            <w:vAlign w:val="center"/>
          </w:tcPr>
          <w:p>
            <w:pPr>
              <w:spacing w:line="288" w:lineRule="auto"/>
              <w:jc w:val="center"/>
              <w:rPr>
                <w:sz w:val="24"/>
                <w:szCs w:val="24"/>
              </w:rPr>
            </w:pPr>
            <w:r>
              <w:rPr>
                <w:sz w:val="24"/>
                <w:szCs w:val="24"/>
              </w:rPr>
              <w:t>项目单位</w:t>
            </w:r>
          </w:p>
        </w:tc>
        <w:tc>
          <w:tcPr>
            <w:tcW w:w="813" w:type="dxa"/>
            <w:vMerge w:val="restart"/>
            <w:vAlign w:val="center"/>
          </w:tcPr>
          <w:p>
            <w:pPr>
              <w:spacing w:line="288" w:lineRule="auto"/>
              <w:jc w:val="center"/>
              <w:rPr>
                <w:sz w:val="24"/>
                <w:szCs w:val="24"/>
              </w:rPr>
            </w:pPr>
            <w:r>
              <w:rPr>
                <w:sz w:val="24"/>
                <w:szCs w:val="24"/>
              </w:rPr>
              <w:t>单位</w:t>
            </w:r>
          </w:p>
        </w:tc>
        <w:tc>
          <w:tcPr>
            <w:tcW w:w="4230" w:type="dxa"/>
            <w:gridSpan w:val="2"/>
            <w:vAlign w:val="center"/>
          </w:tcPr>
          <w:p>
            <w:pPr>
              <w:widowControl/>
              <w:jc w:val="center"/>
              <w:textAlignment w:val="center"/>
              <w:rPr>
                <w:sz w:val="24"/>
                <w:szCs w:val="24"/>
              </w:rPr>
            </w:pPr>
            <w:r>
              <w:rPr>
                <w:rFonts w:hint="eastAsia"/>
                <w:sz w:val="24"/>
                <w:szCs w:val="24"/>
              </w:rPr>
              <w:t>机制砂</w:t>
            </w:r>
            <w:r>
              <w:rPr>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spacing w:line="288" w:lineRule="auto"/>
              <w:jc w:val="center"/>
              <w:rPr>
                <w:sz w:val="24"/>
                <w:szCs w:val="24"/>
              </w:rPr>
            </w:pPr>
          </w:p>
        </w:tc>
        <w:tc>
          <w:tcPr>
            <w:tcW w:w="2497" w:type="dxa"/>
            <w:vMerge w:val="continue"/>
            <w:vAlign w:val="center"/>
          </w:tcPr>
          <w:p>
            <w:pPr>
              <w:spacing w:line="288" w:lineRule="auto"/>
              <w:jc w:val="center"/>
              <w:rPr>
                <w:sz w:val="24"/>
                <w:szCs w:val="24"/>
              </w:rPr>
            </w:pPr>
          </w:p>
        </w:tc>
        <w:tc>
          <w:tcPr>
            <w:tcW w:w="813" w:type="dxa"/>
            <w:vMerge w:val="continue"/>
            <w:vAlign w:val="center"/>
          </w:tcPr>
          <w:p>
            <w:pPr>
              <w:spacing w:line="288" w:lineRule="auto"/>
              <w:jc w:val="center"/>
              <w:rPr>
                <w:sz w:val="24"/>
                <w:szCs w:val="24"/>
              </w:rPr>
            </w:pPr>
          </w:p>
        </w:tc>
        <w:tc>
          <w:tcPr>
            <w:tcW w:w="1996" w:type="dxa"/>
            <w:vAlign w:val="center"/>
          </w:tcPr>
          <w:p>
            <w:pPr>
              <w:widowControl/>
              <w:jc w:val="center"/>
              <w:textAlignment w:val="center"/>
              <w:rPr>
                <w:sz w:val="24"/>
                <w:szCs w:val="24"/>
              </w:rPr>
            </w:pPr>
            <w:r>
              <w:rPr>
                <w:sz w:val="24"/>
                <w:szCs w:val="24"/>
              </w:rPr>
              <w:t>卵石</w:t>
            </w:r>
          </w:p>
        </w:tc>
        <w:tc>
          <w:tcPr>
            <w:tcW w:w="2234" w:type="dxa"/>
            <w:vAlign w:val="center"/>
          </w:tcPr>
          <w:p>
            <w:pPr>
              <w:widowControl/>
              <w:jc w:val="center"/>
              <w:textAlignment w:val="center"/>
              <w:rPr>
                <w:sz w:val="24"/>
                <w:szCs w:val="24"/>
              </w:rPr>
            </w:pPr>
            <w:r>
              <w:rPr>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1</w:t>
            </w:r>
          </w:p>
        </w:tc>
        <w:tc>
          <w:tcPr>
            <w:tcW w:w="2497" w:type="dxa"/>
            <w:vAlign w:val="center"/>
          </w:tcPr>
          <w:p>
            <w:pPr>
              <w:spacing w:line="288" w:lineRule="auto"/>
              <w:jc w:val="center"/>
              <w:rPr>
                <w:sz w:val="24"/>
                <w:szCs w:val="24"/>
              </w:rPr>
            </w:pPr>
            <w:r>
              <w:rPr>
                <w:sz w:val="24"/>
                <w:szCs w:val="24"/>
              </w:rPr>
              <w:t>细度模数</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2.</w:t>
            </w:r>
            <w:r>
              <w:rPr>
                <w:rFonts w:hint="eastAsia"/>
                <w:sz w:val="24"/>
                <w:szCs w:val="24"/>
              </w:rPr>
              <w:t>5</w:t>
            </w:r>
            <w:r>
              <w:rPr>
                <w:sz w:val="24"/>
                <w:szCs w:val="24"/>
              </w:rPr>
              <w:t>~3.2</w:t>
            </w:r>
          </w:p>
        </w:tc>
        <w:tc>
          <w:tcPr>
            <w:tcW w:w="2234" w:type="dxa"/>
            <w:vAlign w:val="center"/>
          </w:tcPr>
          <w:p>
            <w:pPr>
              <w:spacing w:line="288" w:lineRule="auto"/>
              <w:jc w:val="center"/>
              <w:rPr>
                <w:sz w:val="24"/>
                <w:szCs w:val="24"/>
              </w:rPr>
            </w:pPr>
            <w:r>
              <w:rPr>
                <w:rFonts w:hint="eastAsia"/>
                <w:sz w:val="24"/>
                <w:szCs w:val="24"/>
              </w:rPr>
              <w:t>2.8</w:t>
            </w:r>
            <w:r>
              <w:rPr>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2</w:t>
            </w:r>
          </w:p>
        </w:tc>
        <w:tc>
          <w:tcPr>
            <w:tcW w:w="2497" w:type="dxa"/>
            <w:vAlign w:val="center"/>
          </w:tcPr>
          <w:p>
            <w:pPr>
              <w:spacing w:line="288" w:lineRule="auto"/>
              <w:jc w:val="center"/>
              <w:rPr>
                <w:sz w:val="24"/>
                <w:szCs w:val="24"/>
              </w:rPr>
            </w:pPr>
            <w:r>
              <w:rPr>
                <w:sz w:val="24"/>
                <w:szCs w:val="24"/>
              </w:rPr>
              <w:t>级配</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II区</w:t>
            </w:r>
          </w:p>
        </w:tc>
        <w:tc>
          <w:tcPr>
            <w:tcW w:w="2234" w:type="dxa"/>
            <w:vAlign w:val="center"/>
          </w:tcPr>
          <w:p>
            <w:pPr>
              <w:spacing w:line="288" w:lineRule="auto"/>
              <w:jc w:val="center"/>
              <w:rPr>
                <w:sz w:val="24"/>
                <w:szCs w:val="24"/>
              </w:rPr>
            </w:pPr>
            <w:r>
              <w:rPr>
                <w:rFonts w:hint="eastAsia"/>
                <w:sz w:val="24"/>
                <w:szCs w:val="24"/>
              </w:rPr>
              <w:t>I</w:t>
            </w:r>
            <w:r>
              <w:rPr>
                <w:sz w:val="24"/>
                <w:szCs w:val="24"/>
              </w:rPr>
              <w:t>区</w:t>
            </w:r>
            <w:r>
              <w:rPr>
                <w:rFonts w:hint="eastAsia"/>
                <w:sz w:val="24"/>
                <w:szCs w:val="24"/>
              </w:rPr>
              <w:t>、</w:t>
            </w:r>
            <w:r>
              <w:rPr>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3</w:t>
            </w:r>
          </w:p>
        </w:tc>
        <w:tc>
          <w:tcPr>
            <w:tcW w:w="2497" w:type="dxa"/>
            <w:vAlign w:val="center"/>
          </w:tcPr>
          <w:p>
            <w:pPr>
              <w:spacing w:line="288" w:lineRule="auto"/>
              <w:jc w:val="center"/>
              <w:rPr>
                <w:sz w:val="24"/>
                <w:szCs w:val="24"/>
              </w:rPr>
            </w:pPr>
            <w:r>
              <w:rPr>
                <w:sz w:val="24"/>
                <w:szCs w:val="24"/>
              </w:rPr>
              <w:t>MB值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≤1.2</w:t>
            </w:r>
          </w:p>
        </w:tc>
        <w:tc>
          <w:tcPr>
            <w:tcW w:w="2234" w:type="dxa"/>
            <w:vAlign w:val="center"/>
          </w:tcPr>
          <w:p>
            <w:pPr>
              <w:spacing w:line="288" w:lineRule="auto"/>
              <w:jc w:val="center"/>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4</w:t>
            </w:r>
          </w:p>
        </w:tc>
        <w:tc>
          <w:tcPr>
            <w:tcW w:w="2497" w:type="dxa"/>
            <w:vAlign w:val="center"/>
          </w:tcPr>
          <w:p>
            <w:pPr>
              <w:spacing w:line="288" w:lineRule="auto"/>
              <w:jc w:val="center"/>
              <w:rPr>
                <w:sz w:val="24"/>
                <w:szCs w:val="24"/>
              </w:rPr>
            </w:pPr>
            <w:r>
              <w:rPr>
                <w:sz w:val="24"/>
                <w:szCs w:val="24"/>
              </w:rPr>
              <w:t>石粉含量（含泥量）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≤5.0</w:t>
            </w:r>
          </w:p>
        </w:tc>
        <w:tc>
          <w:tcPr>
            <w:tcW w:w="2234" w:type="dxa"/>
            <w:vAlign w:val="center"/>
          </w:tcPr>
          <w:p>
            <w:pPr>
              <w:spacing w:line="288" w:lineRule="auto"/>
              <w:jc w:val="center"/>
              <w:rPr>
                <w:sz w:val="24"/>
                <w:szCs w:val="24"/>
              </w:rPr>
            </w:pPr>
            <w:r>
              <w:rPr>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5</w:t>
            </w:r>
          </w:p>
        </w:tc>
        <w:tc>
          <w:tcPr>
            <w:tcW w:w="2497" w:type="dxa"/>
            <w:vAlign w:val="center"/>
          </w:tcPr>
          <w:p>
            <w:pPr>
              <w:spacing w:line="288" w:lineRule="auto"/>
              <w:jc w:val="center"/>
              <w:rPr>
                <w:sz w:val="24"/>
                <w:szCs w:val="24"/>
              </w:rPr>
            </w:pPr>
            <w:r>
              <w:rPr>
                <w:sz w:val="24"/>
                <w:szCs w:val="24"/>
              </w:rPr>
              <w:t>泥块含量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0</w:t>
            </w:r>
          </w:p>
        </w:tc>
        <w:tc>
          <w:tcPr>
            <w:tcW w:w="2234" w:type="dxa"/>
            <w:vAlign w:val="center"/>
          </w:tcPr>
          <w:p>
            <w:pPr>
              <w:spacing w:line="288" w:lineRule="auto"/>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6</w:t>
            </w:r>
          </w:p>
        </w:tc>
        <w:tc>
          <w:tcPr>
            <w:tcW w:w="2497" w:type="dxa"/>
            <w:vAlign w:val="center"/>
          </w:tcPr>
          <w:p>
            <w:pPr>
              <w:spacing w:line="288" w:lineRule="auto"/>
              <w:jc w:val="center"/>
              <w:rPr>
                <w:sz w:val="24"/>
                <w:szCs w:val="24"/>
              </w:rPr>
            </w:pPr>
            <w:r>
              <w:rPr>
                <w:sz w:val="24"/>
                <w:szCs w:val="24"/>
              </w:rPr>
              <w:t>压碎值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≤16.0</w:t>
            </w:r>
          </w:p>
        </w:tc>
        <w:tc>
          <w:tcPr>
            <w:tcW w:w="2234" w:type="dxa"/>
            <w:vAlign w:val="center"/>
          </w:tcPr>
          <w:p>
            <w:pPr>
              <w:spacing w:line="288" w:lineRule="auto"/>
              <w:jc w:val="center"/>
              <w:rPr>
                <w:sz w:val="24"/>
                <w:szCs w:val="24"/>
              </w:rPr>
            </w:pPr>
            <w:r>
              <w:rPr>
                <w:sz w:val="24"/>
                <w:szCs w:val="24"/>
              </w:rPr>
              <w:t>≤</w:t>
            </w:r>
            <w:r>
              <w:rPr>
                <w:rFonts w:hint="eastAsia"/>
                <w:sz w:val="24"/>
                <w:szCs w:val="24"/>
              </w:rPr>
              <w:t>18</w:t>
            </w: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rFonts w:hint="eastAsia"/>
                <w:sz w:val="24"/>
                <w:szCs w:val="24"/>
              </w:rPr>
              <w:t>7</w:t>
            </w:r>
          </w:p>
        </w:tc>
        <w:tc>
          <w:tcPr>
            <w:tcW w:w="2497" w:type="dxa"/>
            <w:vAlign w:val="center"/>
          </w:tcPr>
          <w:p>
            <w:pPr>
              <w:spacing w:line="288" w:lineRule="auto"/>
              <w:jc w:val="center"/>
              <w:rPr>
                <w:sz w:val="24"/>
                <w:szCs w:val="24"/>
              </w:rPr>
            </w:pPr>
            <w:r>
              <w:rPr>
                <w:sz w:val="24"/>
                <w:szCs w:val="24"/>
              </w:rPr>
              <w:t>吸水率</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≤1.5</w:t>
            </w:r>
          </w:p>
        </w:tc>
        <w:tc>
          <w:tcPr>
            <w:tcW w:w="2234" w:type="dxa"/>
            <w:vAlign w:val="center"/>
          </w:tcPr>
          <w:p>
            <w:pPr>
              <w:spacing w:line="288" w:lineRule="auto"/>
              <w:jc w:val="center"/>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8</w:t>
            </w:r>
          </w:p>
        </w:tc>
        <w:tc>
          <w:tcPr>
            <w:tcW w:w="2497" w:type="dxa"/>
            <w:vAlign w:val="center"/>
          </w:tcPr>
          <w:p>
            <w:pPr>
              <w:spacing w:line="288" w:lineRule="auto"/>
              <w:jc w:val="center"/>
              <w:rPr>
                <w:sz w:val="24"/>
                <w:szCs w:val="24"/>
              </w:rPr>
            </w:pPr>
            <w:r>
              <w:rPr>
                <w:sz w:val="24"/>
                <w:szCs w:val="24"/>
              </w:rPr>
              <w:t>氯离子含量</w:t>
            </w:r>
          </w:p>
        </w:tc>
        <w:tc>
          <w:tcPr>
            <w:tcW w:w="813" w:type="dxa"/>
            <w:vAlign w:val="center"/>
          </w:tcPr>
          <w:p>
            <w:pPr>
              <w:spacing w:line="288" w:lineRule="auto"/>
              <w:jc w:val="center"/>
              <w:rPr>
                <w:sz w:val="24"/>
                <w:szCs w:val="24"/>
              </w:rPr>
            </w:pPr>
            <w:r>
              <w:rPr>
                <w:sz w:val="24"/>
                <w:szCs w:val="24"/>
              </w:rPr>
              <w:t>%</w:t>
            </w:r>
          </w:p>
        </w:tc>
        <w:tc>
          <w:tcPr>
            <w:tcW w:w="4230" w:type="dxa"/>
            <w:gridSpan w:val="2"/>
            <w:vAlign w:val="center"/>
          </w:tcPr>
          <w:p>
            <w:pPr>
              <w:spacing w:line="288" w:lineRule="auto"/>
              <w:jc w:val="center"/>
              <w:rPr>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spacing w:line="288" w:lineRule="auto"/>
              <w:rPr>
                <w:sz w:val="24"/>
                <w:szCs w:val="24"/>
              </w:rPr>
            </w:pPr>
            <w:r>
              <w:rPr>
                <w:rFonts w:hint="eastAsia"/>
                <w:sz w:val="24"/>
                <w:szCs w:val="24"/>
              </w:rPr>
              <w:t>注：</w:t>
            </w:r>
            <w:r>
              <w:rPr>
                <w:sz w:val="24"/>
                <w:szCs w:val="24"/>
              </w:rPr>
              <w:t>1、</w:t>
            </w:r>
            <w:r>
              <w:rPr>
                <w:rFonts w:hint="eastAsia"/>
                <w:sz w:val="24"/>
                <w:szCs w:val="24"/>
              </w:rPr>
              <w:t>机制砂的原材不得为风化石、石英砂岩、页岩或砂岩；</w:t>
            </w:r>
          </w:p>
          <w:p>
            <w:pPr>
              <w:spacing w:line="288" w:lineRule="auto"/>
              <w:ind w:firstLine="480" w:firstLineChars="200"/>
              <w:rPr>
                <w:sz w:val="24"/>
                <w:szCs w:val="24"/>
              </w:rPr>
            </w:pPr>
            <w:r>
              <w:rPr>
                <w:rFonts w:hint="eastAsia"/>
                <w:sz w:val="24"/>
                <w:szCs w:val="24"/>
              </w:rPr>
              <w:t>2、机制砂</w:t>
            </w:r>
            <w:r>
              <w:rPr>
                <w:sz w:val="24"/>
                <w:szCs w:val="24"/>
              </w:rPr>
              <w:t>中不得含有大的石块、泥块、磨细钢渣、煤炭及树枝等杂物</w:t>
            </w:r>
            <w:r>
              <w:rPr>
                <w:rFonts w:hint="eastAsia"/>
                <w:sz w:val="24"/>
                <w:szCs w:val="24"/>
              </w:rPr>
              <w:t>；</w:t>
            </w:r>
          </w:p>
          <w:p>
            <w:pPr>
              <w:spacing w:line="288" w:lineRule="auto"/>
              <w:ind w:firstLine="480" w:firstLineChars="200"/>
              <w:rPr>
                <w:color w:val="000000"/>
                <w:sz w:val="24"/>
                <w:szCs w:val="24"/>
              </w:rPr>
            </w:pPr>
            <w:r>
              <w:rPr>
                <w:rFonts w:hint="eastAsia"/>
                <w:color w:val="000000"/>
                <w:sz w:val="24"/>
                <w:szCs w:val="24"/>
              </w:rPr>
              <w:t>3</w:t>
            </w:r>
            <w:r>
              <w:rPr>
                <w:color w:val="000000"/>
                <w:sz w:val="24"/>
                <w:szCs w:val="24"/>
              </w:rPr>
              <w:t>、</w:t>
            </w:r>
            <w:r>
              <w:rPr>
                <w:rFonts w:hint="eastAsia"/>
                <w:color w:val="000000"/>
                <w:sz w:val="24"/>
                <w:szCs w:val="24"/>
              </w:rPr>
              <w:t>机制砂</w:t>
            </w:r>
            <w:r>
              <w:rPr>
                <w:color w:val="000000"/>
                <w:sz w:val="24"/>
                <w:szCs w:val="24"/>
              </w:rPr>
              <w:t>中严格控制铁物质含量小于0.2%；</w:t>
            </w:r>
          </w:p>
          <w:p>
            <w:pPr>
              <w:spacing w:line="288" w:lineRule="auto"/>
              <w:ind w:firstLine="480" w:firstLineChars="200"/>
              <w:rPr>
                <w:color w:val="000000"/>
              </w:rPr>
            </w:pPr>
            <w:r>
              <w:rPr>
                <w:color w:val="000000"/>
                <w:sz w:val="24"/>
                <w:szCs w:val="24"/>
              </w:rPr>
              <w:t>4、</w:t>
            </w:r>
            <w:r>
              <w:rPr>
                <w:rFonts w:hint="eastAsia"/>
                <w:color w:val="000000"/>
                <w:sz w:val="24"/>
                <w:szCs w:val="24"/>
              </w:rPr>
              <w:t>机制砂</w:t>
            </w:r>
            <w:r>
              <w:rPr>
                <w:color w:val="000000"/>
                <w:sz w:val="24"/>
                <w:szCs w:val="24"/>
              </w:rPr>
              <w:t>使用絮凝剂的不得影响混凝土工作性能，如对外加剂掺量造成明显影响的进行退货；</w:t>
            </w:r>
          </w:p>
          <w:p>
            <w:pPr>
              <w:spacing w:line="288" w:lineRule="auto"/>
              <w:ind w:firstLine="480" w:firstLineChars="200"/>
              <w:rPr>
                <w:sz w:val="24"/>
                <w:szCs w:val="24"/>
              </w:rPr>
            </w:pPr>
            <w:r>
              <w:rPr>
                <w:sz w:val="24"/>
                <w:szCs w:val="24"/>
              </w:rPr>
              <w:t>5、</w:t>
            </w:r>
            <w:r>
              <w:rPr>
                <w:rFonts w:hint="eastAsia"/>
                <w:sz w:val="24"/>
                <w:szCs w:val="24"/>
              </w:rPr>
              <w:t>机制砂</w:t>
            </w:r>
            <w:r>
              <w:rPr>
                <w:sz w:val="24"/>
                <w:szCs w:val="24"/>
              </w:rPr>
              <w:t>的放射性、有害物质含量、坚固性及碱集料等指标应符合国家相关标准。</w:t>
            </w:r>
          </w:p>
        </w:tc>
      </w:tr>
    </w:tbl>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jc w:val="center"/>
              <w:rPr>
                <w:sz w:val="24"/>
                <w:szCs w:val="24"/>
              </w:rPr>
            </w:pPr>
            <w:r>
              <w:rPr>
                <w:sz w:val="24"/>
                <w:szCs w:val="24"/>
              </w:rPr>
              <w:t>序号</w:t>
            </w:r>
          </w:p>
        </w:tc>
        <w:tc>
          <w:tcPr>
            <w:tcW w:w="2809" w:type="dxa"/>
            <w:tcMar>
              <w:left w:w="57" w:type="dxa"/>
              <w:right w:w="57" w:type="dxa"/>
            </w:tcMar>
            <w:vAlign w:val="center"/>
          </w:tcPr>
          <w:p>
            <w:pPr>
              <w:jc w:val="center"/>
              <w:rPr>
                <w:sz w:val="24"/>
                <w:szCs w:val="24"/>
              </w:rPr>
            </w:pPr>
            <w:r>
              <w:rPr>
                <w:sz w:val="24"/>
                <w:szCs w:val="24"/>
              </w:rPr>
              <w:t>项目</w:t>
            </w:r>
          </w:p>
        </w:tc>
        <w:tc>
          <w:tcPr>
            <w:tcW w:w="902" w:type="dxa"/>
            <w:tcMar>
              <w:left w:w="57" w:type="dxa"/>
              <w:right w:w="57" w:type="dxa"/>
            </w:tcMar>
            <w:vAlign w:val="center"/>
          </w:tcPr>
          <w:p>
            <w:pPr>
              <w:jc w:val="center"/>
              <w:rPr>
                <w:sz w:val="24"/>
                <w:szCs w:val="24"/>
              </w:rPr>
            </w:pPr>
            <w:r>
              <w:rPr>
                <w:sz w:val="24"/>
                <w:szCs w:val="24"/>
              </w:rPr>
              <w:t>单位</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7" w:type="dxa"/>
            <w:tcMar>
              <w:left w:w="57" w:type="dxa"/>
              <w:right w:w="57" w:type="dxa"/>
            </w:tcMar>
            <w:vAlign w:val="center"/>
          </w:tcPr>
          <w:p>
            <w:pPr>
              <w:pStyle w:val="2"/>
              <w:snapToGrid w:val="0"/>
              <w:spacing w:before="0" w:after="0" w:line="240" w:lineRule="auto"/>
              <w:ind w:left="-29" w:leftChars="-95" w:right="-113" w:rightChars="-54" w:hanging="170" w:hangingChars="71"/>
              <w:jc w:val="center"/>
              <w:rPr>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jc w:val="center"/>
              <w:rPr>
                <w:sz w:val="24"/>
                <w:szCs w:val="24"/>
              </w:rPr>
            </w:pPr>
            <w:r>
              <w:rPr>
                <w:sz w:val="24"/>
                <w:szCs w:val="24"/>
              </w:rPr>
              <w:t>1</w:t>
            </w:r>
          </w:p>
        </w:tc>
        <w:tc>
          <w:tcPr>
            <w:tcW w:w="2809" w:type="dxa"/>
            <w:tcMar>
              <w:left w:w="57" w:type="dxa"/>
              <w:right w:w="57" w:type="dxa"/>
            </w:tcMar>
            <w:vAlign w:val="center"/>
          </w:tcPr>
          <w:p>
            <w:pPr>
              <w:jc w:val="center"/>
              <w:rPr>
                <w:sz w:val="24"/>
                <w:szCs w:val="24"/>
              </w:rPr>
            </w:pPr>
            <w:r>
              <w:rPr>
                <w:sz w:val="24"/>
                <w:szCs w:val="24"/>
              </w:rPr>
              <w:t>级配</w:t>
            </w:r>
          </w:p>
        </w:tc>
        <w:tc>
          <w:tcPr>
            <w:tcW w:w="902" w:type="dxa"/>
            <w:tcMar>
              <w:left w:w="57" w:type="dxa"/>
              <w:right w:w="57" w:type="dxa"/>
            </w:tcMar>
            <w:vAlign w:val="center"/>
          </w:tcPr>
          <w:p>
            <w:pPr>
              <w:jc w:val="center"/>
              <w:rPr>
                <w:sz w:val="24"/>
                <w:szCs w:val="24"/>
              </w:rPr>
            </w:pPr>
            <w:r>
              <w:rPr>
                <w:sz w:val="24"/>
                <w:szCs w:val="24"/>
              </w:rPr>
              <w:t>mm</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31.5</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25</w:t>
            </w:r>
          </w:p>
        </w:tc>
        <w:tc>
          <w:tcPr>
            <w:tcW w:w="1417" w:type="dxa"/>
            <w:tcMar>
              <w:left w:w="57" w:type="dxa"/>
              <w:right w:w="57" w:type="dxa"/>
            </w:tcMar>
            <w:vAlign w:val="center"/>
          </w:tcPr>
          <w:p>
            <w:pPr>
              <w:jc w:val="center"/>
              <w:rPr>
                <w:sz w:val="24"/>
                <w:szCs w:val="24"/>
              </w:rPr>
            </w:pPr>
            <w:r>
              <w:rPr>
                <w:sz w:val="24"/>
                <w:szCs w:val="24"/>
              </w:rPr>
              <w:t>5</w:t>
            </w:r>
            <w:r>
              <w:rPr>
                <w:rFonts w:hint="eastAsia"/>
                <w:sz w:val="24"/>
                <w:szCs w:val="24"/>
              </w:rPr>
              <w:t>~</w:t>
            </w: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sz w:val="24"/>
                <w:szCs w:val="24"/>
              </w:rPr>
              <w:t>2</w:t>
            </w:r>
          </w:p>
        </w:tc>
        <w:tc>
          <w:tcPr>
            <w:tcW w:w="2809" w:type="dxa"/>
            <w:tcMar>
              <w:left w:w="57" w:type="dxa"/>
              <w:right w:w="57" w:type="dxa"/>
            </w:tcMar>
            <w:vAlign w:val="center"/>
          </w:tcPr>
          <w:p>
            <w:pPr>
              <w:jc w:val="center"/>
              <w:rPr>
                <w:sz w:val="24"/>
                <w:szCs w:val="24"/>
              </w:rPr>
            </w:pPr>
            <w:r>
              <w:rPr>
                <w:sz w:val="24"/>
                <w:szCs w:val="24"/>
              </w:rPr>
              <w:t>针片状颗粒含量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jc w:val="center"/>
              <w:rPr>
                <w:sz w:val="24"/>
                <w:szCs w:val="24"/>
              </w:rPr>
            </w:pPr>
            <w:r>
              <w:rPr>
                <w:sz w:val="24"/>
                <w:szCs w:val="24"/>
              </w:rPr>
              <w:t>3</w:t>
            </w:r>
          </w:p>
        </w:tc>
        <w:tc>
          <w:tcPr>
            <w:tcW w:w="2809" w:type="dxa"/>
            <w:tcMar>
              <w:left w:w="57" w:type="dxa"/>
              <w:right w:w="57" w:type="dxa"/>
            </w:tcMar>
            <w:vAlign w:val="center"/>
          </w:tcPr>
          <w:p>
            <w:pPr>
              <w:jc w:val="center"/>
              <w:rPr>
                <w:sz w:val="24"/>
                <w:szCs w:val="24"/>
              </w:rPr>
            </w:pPr>
            <w:r>
              <w:rPr>
                <w:sz w:val="24"/>
                <w:szCs w:val="24"/>
              </w:rPr>
              <w:t>石粉含量</w:t>
            </w:r>
            <w:r>
              <w:rPr>
                <w:rFonts w:hint="eastAsia"/>
                <w:sz w:val="24"/>
                <w:szCs w:val="24"/>
              </w:rPr>
              <w:t>（含泥量）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≤2</w:t>
            </w:r>
            <w:r>
              <w:rPr>
                <w:rFonts w:hint="eastAsia"/>
                <w:sz w:val="24"/>
                <w:szCs w:val="24"/>
              </w:rPr>
              <w:t>.0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2.0</w:t>
            </w:r>
          </w:p>
        </w:tc>
        <w:tc>
          <w:tcPr>
            <w:tcW w:w="1417" w:type="dxa"/>
            <w:tcMar>
              <w:left w:w="57" w:type="dxa"/>
              <w:right w:w="57" w:type="dxa"/>
            </w:tcMar>
            <w:vAlign w:val="center"/>
          </w:tcPr>
          <w:p>
            <w:pPr>
              <w:jc w:val="center"/>
              <w:rPr>
                <w:sz w:val="24"/>
                <w:szCs w:val="24"/>
              </w:rPr>
            </w:pPr>
            <w:r>
              <w:rPr>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jc w:val="center"/>
              <w:rPr>
                <w:sz w:val="24"/>
                <w:szCs w:val="24"/>
              </w:rPr>
            </w:pPr>
            <w:r>
              <w:rPr>
                <w:sz w:val="24"/>
                <w:szCs w:val="24"/>
              </w:rPr>
              <w:t>4</w:t>
            </w:r>
          </w:p>
        </w:tc>
        <w:tc>
          <w:tcPr>
            <w:tcW w:w="2809" w:type="dxa"/>
            <w:tcMar>
              <w:left w:w="57" w:type="dxa"/>
              <w:right w:w="57" w:type="dxa"/>
            </w:tcMar>
            <w:vAlign w:val="center"/>
          </w:tcPr>
          <w:p>
            <w:pPr>
              <w:jc w:val="center"/>
              <w:rPr>
                <w:sz w:val="24"/>
                <w:szCs w:val="24"/>
              </w:rPr>
            </w:pPr>
            <w:r>
              <w:rPr>
                <w:sz w:val="24"/>
                <w:szCs w:val="24"/>
              </w:rPr>
              <w:t>泥块含量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≤0.5</w:t>
            </w:r>
          </w:p>
        </w:tc>
        <w:tc>
          <w:tcPr>
            <w:tcW w:w="1415" w:type="dxa"/>
            <w:tcMar>
              <w:left w:w="57" w:type="dxa"/>
              <w:right w:w="57" w:type="dxa"/>
            </w:tcMar>
            <w:vAlign w:val="center"/>
          </w:tcPr>
          <w:p>
            <w:pPr>
              <w:jc w:val="center"/>
              <w:rPr>
                <w:sz w:val="24"/>
                <w:szCs w:val="24"/>
              </w:rPr>
            </w:pPr>
            <w:r>
              <w:rPr>
                <w:sz w:val="24"/>
                <w:szCs w:val="24"/>
              </w:rPr>
              <w:t>≤0.</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sz w:val="24"/>
                <w:szCs w:val="24"/>
              </w:rPr>
              <w:t>5</w:t>
            </w:r>
          </w:p>
        </w:tc>
        <w:tc>
          <w:tcPr>
            <w:tcW w:w="2809" w:type="dxa"/>
            <w:tcMar>
              <w:left w:w="57" w:type="dxa"/>
              <w:right w:w="57" w:type="dxa"/>
            </w:tcMar>
            <w:vAlign w:val="center"/>
          </w:tcPr>
          <w:p>
            <w:pPr>
              <w:jc w:val="center"/>
              <w:rPr>
                <w:sz w:val="24"/>
                <w:szCs w:val="24"/>
              </w:rPr>
            </w:pPr>
            <w:r>
              <w:rPr>
                <w:sz w:val="24"/>
                <w:szCs w:val="24"/>
              </w:rPr>
              <w:t>压碎值指标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≤13</w:t>
            </w:r>
          </w:p>
        </w:tc>
        <w:tc>
          <w:tcPr>
            <w:tcW w:w="1415" w:type="dxa"/>
            <w:tcMar>
              <w:left w:w="57" w:type="dxa"/>
              <w:right w:w="57" w:type="dxa"/>
            </w:tcMar>
            <w:vAlign w:val="center"/>
          </w:tcPr>
          <w:p>
            <w:pPr>
              <w:jc w:val="center"/>
              <w:rPr>
                <w:sz w:val="24"/>
                <w:szCs w:val="24"/>
              </w:rPr>
            </w:pPr>
            <w:r>
              <w:rPr>
                <w:sz w:val="24"/>
                <w:szCs w:val="24"/>
              </w:rPr>
              <w:t>≤1</w:t>
            </w:r>
            <w:r>
              <w:rPr>
                <w:rFonts w:hint="eastAsia"/>
                <w:sz w:val="24"/>
                <w:szCs w:val="24"/>
              </w:rPr>
              <w:t>3</w:t>
            </w:r>
          </w:p>
        </w:tc>
        <w:tc>
          <w:tcPr>
            <w:tcW w:w="1417" w:type="dxa"/>
            <w:tcMar>
              <w:left w:w="57" w:type="dxa"/>
              <w:right w:w="57" w:type="dxa"/>
            </w:tcMar>
            <w:vAlign w:val="center"/>
          </w:tcPr>
          <w:p>
            <w:pPr>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rFonts w:hint="eastAsia"/>
                <w:sz w:val="24"/>
                <w:szCs w:val="24"/>
              </w:rPr>
              <w:t>6</w:t>
            </w:r>
          </w:p>
        </w:tc>
        <w:tc>
          <w:tcPr>
            <w:tcW w:w="2809" w:type="dxa"/>
            <w:tcMar>
              <w:left w:w="57" w:type="dxa"/>
              <w:right w:w="57" w:type="dxa"/>
            </w:tcMar>
            <w:vAlign w:val="center"/>
          </w:tcPr>
          <w:p>
            <w:pPr>
              <w:jc w:val="center"/>
              <w:rPr>
                <w:sz w:val="24"/>
                <w:szCs w:val="24"/>
              </w:rPr>
            </w:pPr>
            <w:r>
              <w:rPr>
                <w:sz w:val="24"/>
                <w:szCs w:val="24"/>
              </w:rPr>
              <w:t>吸水率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≤0.7</w:t>
            </w:r>
          </w:p>
        </w:tc>
        <w:tc>
          <w:tcPr>
            <w:tcW w:w="1415" w:type="dxa"/>
            <w:tcMar>
              <w:left w:w="57" w:type="dxa"/>
              <w:right w:w="57" w:type="dxa"/>
            </w:tcMar>
            <w:vAlign w:val="center"/>
          </w:tcPr>
          <w:p>
            <w:pPr>
              <w:jc w:val="center"/>
              <w:rPr>
                <w:sz w:val="24"/>
                <w:szCs w:val="24"/>
              </w:rPr>
            </w:pPr>
            <w:r>
              <w:rPr>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jc w:val="center"/>
              <w:rPr>
                <w:sz w:val="24"/>
                <w:szCs w:val="24"/>
              </w:rPr>
            </w:pPr>
            <w:r>
              <w:rPr>
                <w:rFonts w:hint="eastAsia"/>
                <w:sz w:val="24"/>
                <w:szCs w:val="24"/>
              </w:rPr>
              <w:t>7</w:t>
            </w:r>
          </w:p>
        </w:tc>
        <w:tc>
          <w:tcPr>
            <w:tcW w:w="2809" w:type="dxa"/>
            <w:tcMar>
              <w:left w:w="57" w:type="dxa"/>
              <w:right w:w="57" w:type="dxa"/>
            </w:tcMar>
            <w:vAlign w:val="center"/>
          </w:tcPr>
          <w:p>
            <w:pPr>
              <w:jc w:val="center"/>
              <w:rPr>
                <w:sz w:val="24"/>
                <w:szCs w:val="24"/>
              </w:rPr>
            </w:pPr>
            <w:r>
              <w:rPr>
                <w:sz w:val="24"/>
                <w:szCs w:val="24"/>
              </w:rPr>
              <w:t>16mm以下筛分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≤50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50</w:t>
            </w:r>
          </w:p>
        </w:tc>
        <w:tc>
          <w:tcPr>
            <w:tcW w:w="1417" w:type="dxa"/>
            <w:tcMar>
              <w:left w:w="57" w:type="dxa"/>
              <w:right w:w="57" w:type="dxa"/>
            </w:tcMar>
            <w:vAlign w:val="center"/>
          </w:tcPr>
          <w:p>
            <w:pPr>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rFonts w:hint="eastAsia"/>
                <w:sz w:val="24"/>
                <w:szCs w:val="24"/>
              </w:rPr>
              <w:t>8</w:t>
            </w:r>
          </w:p>
        </w:tc>
        <w:tc>
          <w:tcPr>
            <w:tcW w:w="2809" w:type="dxa"/>
            <w:tcMar>
              <w:left w:w="57" w:type="dxa"/>
              <w:right w:w="57" w:type="dxa"/>
            </w:tcMar>
            <w:vAlign w:val="center"/>
          </w:tcPr>
          <w:p>
            <w:pPr>
              <w:jc w:val="center"/>
              <w:rPr>
                <w:sz w:val="24"/>
                <w:szCs w:val="24"/>
              </w:rPr>
            </w:pPr>
            <w:r>
              <w:rPr>
                <w:sz w:val="24"/>
                <w:szCs w:val="24"/>
              </w:rPr>
              <w:t>5mm以下筛分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rPr>
                <w:sz w:val="24"/>
                <w:szCs w:val="24"/>
              </w:rPr>
            </w:pPr>
            <w:r>
              <w:rPr>
                <w:rFonts w:hint="eastAsia"/>
                <w:sz w:val="24"/>
                <w:szCs w:val="24"/>
              </w:rPr>
              <w:t>注：1、</w:t>
            </w:r>
            <w:r>
              <w:rPr>
                <w:sz w:val="24"/>
                <w:szCs w:val="24"/>
              </w:rPr>
              <w:t>石料不得含有钢渣、炉渣、石灰、煤炭、风化石、树枝、煤矸石、页岩、耐火砖等杂物，不得含有大的石块或泥块</w:t>
            </w:r>
            <w:r>
              <w:rPr>
                <w:rFonts w:hint="eastAsia"/>
                <w:sz w:val="24"/>
                <w:szCs w:val="24"/>
              </w:rPr>
              <w:t>。</w:t>
            </w:r>
          </w:p>
          <w:p>
            <w:pPr>
              <w:ind w:firstLine="480" w:firstLineChars="200"/>
              <w:rPr>
                <w:sz w:val="24"/>
                <w:szCs w:val="24"/>
              </w:rPr>
            </w:pPr>
            <w:r>
              <w:rPr>
                <w:rFonts w:hint="eastAsia"/>
                <w:sz w:val="24"/>
                <w:szCs w:val="24"/>
              </w:rPr>
              <w:t>2、</w:t>
            </w:r>
            <w:r>
              <w:rPr>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（3）特殊情况下砂石扣水标准由公司统一发布并执行。</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四、竞标采购办法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公司根据预期的生产计划，提前</w:t>
      </w:r>
      <w:r>
        <w:rPr>
          <w:rFonts w:ascii="仿宋_GB2312" w:hAnsi="Times New Roman" w:eastAsia="仿宋_GB2312" w:cs="Times New Roman"/>
          <w:color w:val="auto"/>
          <w:sz w:val="32"/>
          <w:szCs w:val="32"/>
        </w:rPr>
        <w:t>5</w:t>
      </w:r>
      <w:r>
        <w:rPr>
          <w:rFonts w:hint="eastAsia" w:ascii="仿宋_GB2312" w:hAnsi="Times New Roman" w:eastAsia="仿宋_GB2312" w:cs="Times New Roman"/>
          <w:color w:val="auto"/>
          <w:sz w:val="32"/>
          <w:szCs w:val="32"/>
        </w:rPr>
        <w:t>天发布</w:t>
      </w:r>
      <w:r>
        <w:rPr>
          <w:rFonts w:ascii="仿宋_GB2312" w:hAnsi="Times New Roman" w:eastAsia="仿宋_GB2312" w:cs="Times New Roman"/>
          <w:color w:val="auto"/>
          <w:sz w:val="32"/>
          <w:szCs w:val="32"/>
        </w:rPr>
        <w:t>招标</w:t>
      </w:r>
      <w:r>
        <w:rPr>
          <w:rFonts w:hint="eastAsia" w:ascii="仿宋_GB2312" w:hAnsi="Times New Roman" w:eastAsia="仿宋_GB2312" w:cs="Times New Roman"/>
          <w:color w:val="auto"/>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每期竞标采购将分解成若干标的，到港原则上每标的3万吨。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标公告中公司将注明付款方式，竞标人参与竞价即代表认可公告中所对应的付款方式，并根据该付款方式作出报价。竞标人报价文件中不得改动公告中所载明的付款方式，否则为无效报价，作废标处理。</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（2）竞价交易采取一轮报价，报价全部为到达指定码头的含税靠港价，竞标人需提供增值税专用发票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税率13%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r>
        <w:rPr>
          <w:rFonts w:ascii="仿宋_GB2312" w:hAnsi="Times New Roman" w:eastAsia="仿宋_GB2312" w:cs="Times New Roman"/>
          <w:color w:val="auto"/>
          <w:sz w:val="32"/>
          <w:szCs w:val="32"/>
        </w:rPr>
        <w:t>所报单价均按</w:t>
      </w:r>
      <w:r>
        <w:rPr>
          <w:rFonts w:hint="eastAsia" w:ascii="仿宋_GB2312" w:hAnsi="Times New Roman" w:eastAsia="仿宋_GB2312" w:cs="Times New Roman"/>
          <w:color w:val="auto"/>
          <w:sz w:val="32"/>
          <w:szCs w:val="32"/>
          <w:lang w:val="en-US" w:eastAsia="zh-CN"/>
        </w:rPr>
        <w:t>1</w:t>
      </w:r>
      <w:r>
        <w:rPr>
          <w:rFonts w:ascii="仿宋_GB2312" w:hAnsi="Times New Roman" w:eastAsia="仿宋_GB2312" w:cs="Times New Roman"/>
          <w:color w:val="auto"/>
          <w:sz w:val="32"/>
          <w:szCs w:val="32"/>
        </w:rPr>
        <w:t>3%税率填报，</w:t>
      </w:r>
      <w:r>
        <w:rPr>
          <w:rFonts w:hint="eastAsia" w:ascii="仿宋_GB2312" w:hAnsi="Times New Roman" w:eastAsia="仿宋_GB2312" w:cs="Times New Roman"/>
          <w:color w:val="000000"/>
          <w:sz w:val="32"/>
          <w:szCs w:val="32"/>
        </w:rPr>
        <w:t>在评标时</w:t>
      </w:r>
      <w:r>
        <w:rPr>
          <w:rFonts w:hint="eastAsia" w:ascii="仿宋_GB2312" w:hAnsi="Times New Roman" w:eastAsia="仿宋_GB2312" w:cs="Times New Roman"/>
          <w:color w:val="000000"/>
          <w:sz w:val="32"/>
          <w:szCs w:val="32"/>
          <w:lang w:val="en-US" w:eastAsia="zh-CN"/>
        </w:rPr>
        <w:t>以价格从低到高</w:t>
      </w:r>
      <w:r>
        <w:rPr>
          <w:rFonts w:hint="eastAsia" w:ascii="仿宋_GB2312" w:hAnsi="Times New Roman" w:eastAsia="仿宋_GB2312" w:cs="Times New Roman"/>
          <w:color w:val="000000"/>
          <w:sz w:val="32"/>
          <w:szCs w:val="32"/>
        </w:rPr>
        <w:t>排序。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（3）每个竞标人可竞标一种或多种产品，但每种产品最多只能参与二个标的竞标。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（4）报价文件由竞标人法定代表人或其授权委托代理人签名并加盖公章。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（5）报价高于最高限价(开标当天公示)的或竞标份数高于最高竞标份数的，为无效报价；竞标报价单如有计算错误或不按公告载明的交易量进行报价的，为无效报价。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（6）竞标报价单中应明确产品种类、数量、单价，币种为人民币。报价单价单位为：元/吨，保留至小数点后两位。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上清晰标记“正本”或“副本”，正、副本报价不一致时以“正本”为准。正本及副本合并在一个档案袋中密封包装，封口处须加盖公章密封，外包装须写明该报价文件对应的公告（竞标交易编号）。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竞标交易编号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（9）竞标人如中标，在合同履约期间价格保持不变，不因市场波动而调价，因市场价格波动引起的风险由双方各自承担。</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（10）竞标人中标后需按公司计划要求按时足量供应，除不可抗力因素外，无论何种因素导致的供应不及时或供应量不足而影响到公司混凝土生产的，则对中标人未完成余量部分按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元/吨从履约保证金中扣除，最高为履约保证金扣完为止</w:t>
      </w:r>
      <w:r>
        <w:rPr>
          <w:rFonts w:hint="eastAsia" w:ascii="仿宋_GB2312" w:hAnsi="仿宋_GB2312" w:eastAsia="仿宋_GB2312" w:cs="仿宋_GB2312"/>
          <w:color w:val="auto"/>
          <w:sz w:val="32"/>
          <w:szCs w:val="32"/>
        </w:rPr>
        <w:t>。因公司遇到国家法律法规、政策、疫情原因等特殊情况导致减产或库满而要求中标单位减量供应或延时供货的，竞标人不以减量或延时供货原因调整价格。</w:t>
      </w:r>
    </w:p>
    <w:p>
      <w:pPr>
        <w:spacing w:line="560" w:lineRule="exact"/>
        <w:ind w:firstLine="640" w:firstLineChars="200"/>
      </w:pPr>
      <w:r>
        <w:rPr>
          <w:rFonts w:hint="eastAsia" w:ascii="仿宋_GB2312" w:hAnsi="仿宋_GB2312" w:eastAsia="仿宋_GB2312" w:cs="仿宋_GB2312"/>
          <w:sz w:val="32"/>
          <w:szCs w:val="32"/>
        </w:rPr>
        <w:t>4.交货地点</w:t>
      </w: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1772"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5554"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码头</w:t>
            </w:r>
          </w:p>
        </w:tc>
        <w:tc>
          <w:tcPr>
            <w:tcW w:w="1772"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古雄</w:t>
            </w:r>
          </w:p>
        </w:tc>
        <w:tc>
          <w:tcPr>
            <w:tcW w:w="5554"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hint="eastAsia" w:ascii="仿宋_GB2312" w:hAnsi="仿宋_GB2312" w:eastAsia="仿宋_GB2312" w:cs="仿宋_GB2312"/>
                <w:sz w:val="32"/>
                <w:szCs w:val="32"/>
              </w:rPr>
            </w:pPr>
          </w:p>
        </w:tc>
        <w:tc>
          <w:tcPr>
            <w:tcW w:w="1772"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海华</w:t>
            </w:r>
          </w:p>
        </w:tc>
        <w:tc>
          <w:tcPr>
            <w:tcW w:w="5554"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南京经济技术开发区新港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hint="eastAsia" w:ascii="仿宋_GB2312" w:hAnsi="仿宋_GB2312" w:eastAsia="仿宋_GB2312" w:cs="仿宋_GB2312"/>
                <w:sz w:val="32"/>
                <w:szCs w:val="32"/>
              </w:rPr>
            </w:pPr>
          </w:p>
        </w:tc>
        <w:tc>
          <w:tcPr>
            <w:tcW w:w="1772"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远锦</w:t>
            </w:r>
          </w:p>
        </w:tc>
        <w:tc>
          <w:tcPr>
            <w:tcW w:w="5554"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hint="eastAsia" w:ascii="仿宋_GB2312" w:hAnsi="仿宋_GB2312" w:eastAsia="仿宋_GB2312" w:cs="仿宋_GB2312"/>
                <w:sz w:val="32"/>
                <w:szCs w:val="32"/>
              </w:rPr>
            </w:pPr>
          </w:p>
        </w:tc>
        <w:tc>
          <w:tcPr>
            <w:tcW w:w="1772"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快捷</w:t>
            </w:r>
          </w:p>
        </w:tc>
        <w:tc>
          <w:tcPr>
            <w:tcW w:w="5554"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hint="eastAsia" w:ascii="仿宋_GB2312" w:hAnsi="仿宋_GB2312" w:eastAsia="仿宋_GB2312" w:cs="仿宋_GB2312"/>
                <w:sz w:val="32"/>
                <w:szCs w:val="32"/>
              </w:rPr>
            </w:pPr>
          </w:p>
        </w:tc>
        <w:tc>
          <w:tcPr>
            <w:tcW w:w="1772"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金固</w:t>
            </w:r>
          </w:p>
        </w:tc>
        <w:tc>
          <w:tcPr>
            <w:tcW w:w="5554"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hint="eastAsia" w:ascii="仿宋_GB2312" w:hAnsi="仿宋_GB2312" w:eastAsia="仿宋_GB2312" w:cs="仿宋_GB2312"/>
                <w:sz w:val="32"/>
                <w:szCs w:val="32"/>
              </w:rPr>
            </w:pPr>
          </w:p>
        </w:tc>
        <w:tc>
          <w:tcPr>
            <w:tcW w:w="1772"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七坝</w:t>
            </w:r>
          </w:p>
        </w:tc>
        <w:tc>
          <w:tcPr>
            <w:tcW w:w="5554"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hint="eastAsia" w:ascii="仿宋_GB2312" w:hAnsi="仿宋_GB2312" w:eastAsia="仿宋_GB2312" w:cs="仿宋_GB2312"/>
                <w:sz w:val="32"/>
                <w:szCs w:val="32"/>
              </w:rPr>
            </w:pPr>
          </w:p>
        </w:tc>
        <w:tc>
          <w:tcPr>
            <w:tcW w:w="1772"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海宏</w:t>
            </w:r>
          </w:p>
        </w:tc>
        <w:tc>
          <w:tcPr>
            <w:tcW w:w="5554"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hint="eastAsia" w:ascii="仿宋_GB2312" w:hAnsi="仿宋_GB2312" w:eastAsia="仿宋_GB2312" w:cs="仿宋_GB2312"/>
                <w:sz w:val="32"/>
                <w:szCs w:val="32"/>
              </w:rPr>
            </w:pPr>
          </w:p>
        </w:tc>
        <w:tc>
          <w:tcPr>
            <w:tcW w:w="1772" w:type="dxa"/>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关门桥</w:t>
            </w:r>
          </w:p>
        </w:tc>
        <w:tc>
          <w:tcPr>
            <w:tcW w:w="5554" w:type="dxa"/>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南京市六合区关门桥路</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评标坚持以价格为主导，在独立开标室内现场公开开标，全程录像，评标依据竞标人有效报价由低到高排序，依次确定竞得人，直至标的数排满为止。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如出现竞标人报价相同的情况，根据以下办法执行：</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①对相同报价的竞标人，实行平均分配。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②公司设定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，并密封盖章，开标当日由纪检监督人员开封并宣布。竞标人报价高于最高限价的，为无效报价。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（3）竞标流程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人员宣布竞标纪律，并开封、宣布最高限价。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②主持人随机抽取2名竞标人代表检查所有报价文件的密封情况。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③工作人员当众开启竞标人报价文件，并宣读竞标人名称、报价及</w:t>
      </w:r>
      <w:r>
        <w:rPr>
          <w:rFonts w:ascii="仿宋_GB2312" w:hAnsi="仿宋_GB2312" w:eastAsia="仿宋_GB2312" w:cs="仿宋_GB2312"/>
          <w:sz w:val="32"/>
          <w:szCs w:val="32"/>
        </w:rPr>
        <w:t>竞标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④相关工作人员及竞标人在竞标记录上签名确认。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⑤公司按竞标评审原则确定竞标产品的竞得人。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主持人宣布竞标产品的竞得人及其报价、竞</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（1）竞标结果公布后，竞得人的法定代表人或授权委托代理人须当场签订《成交确认书》。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依据本办法实施的砂石材料竞标采购由公司统一组织，并由公司或公司下设分公司与竞得人签订合同。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8.竞标人须知</w:t>
      </w:r>
    </w:p>
    <w:p>
      <w:pPr>
        <w:spacing w:line="560" w:lineRule="exact"/>
        <w:ind w:firstLine="640" w:firstLineChars="200"/>
        <w:rPr>
          <w:rFonts w:ascii="仿宋_GB2312" w:hAnsi="仿宋_GB2312" w:eastAsia="仿宋_GB2312" w:cs="仿宋_GB2312"/>
          <w:sz w:val="32"/>
          <w:szCs w:val="32"/>
        </w:rPr>
      </w:pPr>
      <w:bookmarkStart w:id="0" w:name="_Toc76404421"/>
      <w:bookmarkStart w:id="1" w:name="_Toc76726855"/>
      <w:r>
        <w:rPr>
          <w:rFonts w:hint="eastAsia" w:ascii="仿宋_GB2312" w:hAnsi="仿宋_GB2312" w:eastAsia="仿宋_GB2312" w:cs="仿宋_GB2312"/>
          <w:sz w:val="32"/>
          <w:szCs w:val="32"/>
        </w:rPr>
        <w:t>（1）竞标人资格要求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①竞标人须为法人</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②竞标人具有良好的社会信誉，未被国家相关机构列入失信企业名单。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③竞标人未被公司列入不合格供应商。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④不接受联合体竞标。</w:t>
      </w:r>
    </w:p>
    <w:p>
      <w:pPr>
        <w:spacing w:line="560" w:lineRule="exact"/>
        <w:ind w:firstLine="640" w:firstLineChars="200"/>
        <w:rPr>
          <w:rFonts w:ascii="仿宋_GB2312" w:hAnsi="Times New Roman" w:eastAsia="仿宋_GB2312" w:cs="Times New Roman"/>
          <w:sz w:val="32"/>
          <w:szCs w:val="32"/>
        </w:rPr>
      </w:pPr>
      <w:bookmarkStart w:id="2" w:name="_Toc76726856"/>
      <w:bookmarkStart w:id="3" w:name="_Toc76404422"/>
      <w:r>
        <w:rPr>
          <w:rFonts w:hint="eastAsia" w:ascii="仿宋_GB2312" w:hAnsi="仿宋_GB2312" w:eastAsia="仿宋_GB2312" w:cs="仿宋_GB2312"/>
          <w:sz w:val="32"/>
          <w:szCs w:val="32"/>
        </w:rPr>
        <w:t>⑤首次参加公司竞标的竞标人，需提交以下资料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 xml:space="preserve">人身份证与授权委托书、授权委托代理人身份证。以上资料需提交进行核验（法定代表人参与投标无需提供3、4项），并提供加盖公章且由法定代表人（或授权委托代理人）签名的复印件，在竞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⑥已参与公司前期竞标交易的合格竞标人（以下称为有效期内的合格竞标人），若继续报名参与后续竞标交易，不再进行资格预审。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⑦合格竞标人的资格有效期为12个月。有效期内经查实合格竞标人有重大变更情况后不符合资格预审要求，本公司将取消其合格竞标人资格。</w:t>
      </w:r>
    </w:p>
    <w:p>
      <w:pPr>
        <w:numPr>
          <w:ilvl w:val="0"/>
          <w:numId w:val="1"/>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保证金的交纳与处置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每个竞标人每次参与竞标时须交纳竞标保证金，每种产品竞标保证金为人民币</w:t>
      </w:r>
      <w:r>
        <w:rPr>
          <w:rFonts w:hint="eastAsia" w:ascii="仿宋_GB2312" w:hAnsi="Times New Roman" w:eastAsia="仿宋_GB2312" w:cs="Times New Roman"/>
          <w:sz w:val="32"/>
          <w:szCs w:val="32"/>
          <w:lang w:val="en-US" w:eastAsia="zh-CN"/>
        </w:rPr>
        <w:t>30</w:t>
      </w:r>
      <w:r>
        <w:rPr>
          <w:rFonts w:hint="eastAsia" w:ascii="仿宋_GB2312" w:hAnsi="Times New Roman" w:eastAsia="仿宋_GB2312" w:cs="Times New Roman"/>
          <w:sz w:val="32"/>
          <w:szCs w:val="32"/>
        </w:rPr>
        <w:t>万元。未竞得人的竞标保证金，公司在竞标交易结果公布后</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个工作日内，一次性无息退还；竞得人的竞标保证金转为履约保证金，在竞得人本期标的正常履约结束后</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个工作日内无息退还履约保证金。为方便参与投标，竞标人主动要求长期将保证金存放在本公司的可填写《自愿承诺书》并加盖公章签字</w:t>
      </w:r>
      <w:r>
        <w:rPr>
          <w:rFonts w:hint="eastAsia" w:ascii="仿宋_GB2312" w:hAnsi="Times New Roman" w:eastAsia="仿宋_GB2312" w:cs="Times New Roman"/>
          <w:b/>
          <w:bCs/>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竞得人中标后未按规定签订《成交确认书》或未按规定签订《混凝土原材料采购合同(砂石)》，公司将取消其竞标资格，</w:t>
      </w:r>
      <w:r>
        <w:rPr>
          <w:rFonts w:ascii="仿宋_GB2312" w:hAnsi="Times New Roman" w:eastAsia="仿宋_GB2312" w:cs="Times New Roman"/>
          <w:sz w:val="32"/>
          <w:szCs w:val="32"/>
        </w:rPr>
        <w:t>竞标</w:t>
      </w:r>
      <w:r>
        <w:rPr>
          <w:rFonts w:hint="eastAsia" w:ascii="仿宋_GB2312" w:hAnsi="Times New Roman" w:eastAsia="仿宋_GB2312" w:cs="Times New Roman"/>
          <w:sz w:val="32"/>
          <w:szCs w:val="32"/>
        </w:rPr>
        <w:t>保证金不予退还。</w:t>
      </w:r>
    </w:p>
    <w:p>
      <w:pPr>
        <w:numPr>
          <w:ilvl w:val="0"/>
          <w:numId w:val="1"/>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w:t>
      </w:r>
      <w:r>
        <w:rPr>
          <w:rFonts w:hint="eastAsia" w:ascii="仿宋" w:hAnsi="仿宋" w:eastAsia="仿宋" w:cs="Times New Roman"/>
          <w:color w:val="auto"/>
          <w:kern w:val="0"/>
          <w:sz w:val="30"/>
          <w:szCs w:val="30"/>
        </w:rPr>
        <w:t>华东材料</w:t>
      </w:r>
      <w:r>
        <w:rPr>
          <w:rFonts w:hint="eastAsia" w:ascii="仿宋" w:hAnsi="仿宋" w:eastAsia="仿宋" w:cs="Times New Roman"/>
          <w:color w:val="auto"/>
          <w:kern w:val="0"/>
          <w:sz w:val="30"/>
          <w:szCs w:val="30"/>
          <w:lang w:val="en-US" w:eastAsia="zh-CN"/>
        </w:rPr>
        <w:t>有限公司供应链管理部</w:t>
      </w:r>
      <w:r>
        <w:rPr>
          <w:rFonts w:hint="eastAsia" w:ascii="仿宋_GB2312" w:hAnsi="Times New Roman" w:eastAsia="仿宋_GB2312" w:cs="Times New Roman"/>
          <w:sz w:val="32"/>
          <w:szCs w:val="32"/>
        </w:rPr>
        <w:t>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ind w:firstLine="600" w:firstLineChars="200"/>
        <w:jc w:val="right"/>
        <w:rPr>
          <w:rFonts w:hint="eastAsia" w:ascii="仿宋" w:hAnsi="仿宋" w:eastAsia="仿宋" w:cs="Times New Roman"/>
          <w:color w:val="auto"/>
          <w:kern w:val="0"/>
          <w:sz w:val="30"/>
          <w:szCs w:val="30"/>
        </w:rPr>
      </w:pPr>
      <w:r>
        <w:rPr>
          <w:rFonts w:hint="eastAsia" w:ascii="仿宋" w:hAnsi="仿宋" w:eastAsia="仿宋" w:cs="Times New Roman"/>
          <w:color w:val="auto"/>
          <w:kern w:val="0"/>
          <w:sz w:val="30"/>
          <w:szCs w:val="30"/>
        </w:rPr>
        <w:t>华东材料有限公司</w:t>
      </w:r>
    </w:p>
    <w:p>
      <w:pPr>
        <w:spacing w:line="560" w:lineRule="exact"/>
        <w:ind w:firstLine="600" w:firstLineChars="200"/>
        <w:jc w:val="center"/>
        <w:rPr>
          <w:rFonts w:hint="eastAsia" w:ascii="仿宋_GB2312" w:hAnsi="仿宋_GB2312" w:eastAsia="仿宋_GB2312" w:cs="仿宋_GB2312"/>
          <w:sz w:val="32"/>
          <w:szCs w:val="32"/>
        </w:rPr>
      </w:pPr>
      <w:r>
        <w:rPr>
          <w:rFonts w:hint="eastAsia" w:ascii="仿宋" w:hAnsi="仿宋" w:eastAsia="仿宋" w:cs="Times New Roman"/>
          <w:color w:val="auto"/>
          <w:kern w:val="0"/>
          <w:sz w:val="30"/>
          <w:szCs w:val="30"/>
          <w:lang w:val="en-US" w:eastAsia="zh-CN"/>
        </w:rPr>
        <w:t xml:space="preserve">                                   供应链管理部</w:t>
      </w:r>
      <w:r>
        <w:rPr>
          <w:rFonts w:hint="eastAsia" w:ascii="仿宋" w:hAnsi="仿宋" w:eastAsia="仿宋" w:cs="Times New Roman"/>
          <w:color w:val="auto"/>
          <w:kern w:val="0"/>
          <w:sz w:val="30"/>
          <w:szCs w:val="30"/>
        </w:rPr>
        <w:t xml:space="preserve">  </w:t>
      </w:r>
      <w:r>
        <w:rPr>
          <w:rFonts w:hint="eastAsia" w:ascii="仿宋" w:hAnsi="仿宋" w:eastAsia="仿宋" w:cs="Times New Roman"/>
          <w:color w:val="FF0000"/>
          <w:kern w:val="0"/>
          <w:sz w:val="30"/>
          <w:szCs w:val="30"/>
        </w:rPr>
        <w:t xml:space="preserve">    </w:t>
      </w:r>
      <w:r>
        <w:rPr>
          <w:rFonts w:hint="eastAsia" w:ascii="仿宋_GB2312" w:hAnsi="仿宋_GB2312" w:eastAsia="仿宋_GB2312" w:cs="仿宋_GB2312"/>
          <w:sz w:val="32"/>
          <w:szCs w:val="32"/>
        </w:rPr>
        <w:t xml:space="preserve">                      </w:t>
      </w:r>
    </w:p>
    <w:p>
      <w:pPr>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30</w:t>
      </w:r>
      <w:r>
        <w:rPr>
          <w:rFonts w:hint="eastAsia" w:ascii="仿宋_GB2312" w:hAnsi="仿宋_GB2312" w:eastAsia="仿宋_GB2312" w:cs="仿宋_GB2312"/>
          <w:sz w:val="32"/>
          <w:szCs w:val="32"/>
        </w:rPr>
        <w:t>日</w:t>
      </w:r>
      <w:bookmarkStart w:id="4" w:name="_GoBack"/>
      <w:bookmarkEnd w:id="4"/>
    </w:p>
    <w:p>
      <w:pPr>
        <w:spacing w:line="560" w:lineRule="exact"/>
        <w:jc w:val="both"/>
        <w:rPr>
          <w:rFonts w:hint="eastAsia" w:ascii="仿宋_GB2312" w:hAnsi="仿宋_GB2312" w:eastAsia="仿宋_GB2312" w:cs="仿宋_GB2312"/>
          <w:color w:val="auto"/>
          <w:sz w:val="32"/>
          <w:szCs w:val="32"/>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7268B5-16D3-4064-98D1-603F6E5F11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B8496C3-C06A-46C4-9053-BE2001EFEF54}"/>
  </w:font>
  <w:font w:name="仿宋">
    <w:panose1 w:val="02010609060101010101"/>
    <w:charset w:val="86"/>
    <w:family w:val="auto"/>
    <w:pitch w:val="default"/>
    <w:sig w:usb0="800002BF" w:usb1="38CF7CFA" w:usb2="00000016" w:usb3="00000000" w:csb0="00040001" w:csb1="00000000"/>
    <w:embedRegular r:id="rId3" w:fontKey="{38BB9269-2AAE-4311-B4ED-3B65FE444A9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- 17 -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- 17 -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3AD09C"/>
    <w:multiLevelType w:val="singleLevel"/>
    <w:tmpl w:val="C03AD09C"/>
    <w:lvl w:ilvl="0" w:tentative="0">
      <w:start w:val="2"/>
      <w:numFmt w:val="decimal"/>
      <w:suff w:val="nothing"/>
      <w:lvlText w:val="（%1）"/>
      <w:lvlJc w:val="left"/>
      <w:pPr>
        <w:ind w:left="-2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MDBiODBiZDgwMjc5MTJhMTEwMThkOTQzMmRiYTQifQ=="/>
  </w:docVars>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B9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01C"/>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E73"/>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46B"/>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39B1"/>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609"/>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3FC"/>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5FD3"/>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A58"/>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BC3"/>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97D"/>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2D"/>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BA6"/>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3235C3C"/>
    <w:rsid w:val="043570EA"/>
    <w:rsid w:val="048C180B"/>
    <w:rsid w:val="048D0BB7"/>
    <w:rsid w:val="04A15DC2"/>
    <w:rsid w:val="05F12651"/>
    <w:rsid w:val="07774735"/>
    <w:rsid w:val="083D55C7"/>
    <w:rsid w:val="091E5F9B"/>
    <w:rsid w:val="093E523F"/>
    <w:rsid w:val="0AB50401"/>
    <w:rsid w:val="0B664854"/>
    <w:rsid w:val="0CD0381B"/>
    <w:rsid w:val="0E400C24"/>
    <w:rsid w:val="0E722C77"/>
    <w:rsid w:val="0EC41A8A"/>
    <w:rsid w:val="0F1A489C"/>
    <w:rsid w:val="10B26951"/>
    <w:rsid w:val="117B7760"/>
    <w:rsid w:val="11BB2940"/>
    <w:rsid w:val="14373EEB"/>
    <w:rsid w:val="144D6802"/>
    <w:rsid w:val="14663E20"/>
    <w:rsid w:val="177F2B37"/>
    <w:rsid w:val="18A05BA2"/>
    <w:rsid w:val="18A5051D"/>
    <w:rsid w:val="1ABB5D08"/>
    <w:rsid w:val="1D071BD3"/>
    <w:rsid w:val="1D153A25"/>
    <w:rsid w:val="1D154583"/>
    <w:rsid w:val="1D585501"/>
    <w:rsid w:val="1EA40B16"/>
    <w:rsid w:val="1F7074E6"/>
    <w:rsid w:val="1FD782E0"/>
    <w:rsid w:val="210F123D"/>
    <w:rsid w:val="21874CBE"/>
    <w:rsid w:val="21BD4444"/>
    <w:rsid w:val="21CA286D"/>
    <w:rsid w:val="22EE7610"/>
    <w:rsid w:val="23452FA8"/>
    <w:rsid w:val="23983868"/>
    <w:rsid w:val="2466059E"/>
    <w:rsid w:val="24EF3BDE"/>
    <w:rsid w:val="24F420C7"/>
    <w:rsid w:val="253B57EA"/>
    <w:rsid w:val="25EA05B5"/>
    <w:rsid w:val="27504785"/>
    <w:rsid w:val="277C726E"/>
    <w:rsid w:val="27981C80"/>
    <w:rsid w:val="28F174F3"/>
    <w:rsid w:val="2911757E"/>
    <w:rsid w:val="292672D3"/>
    <w:rsid w:val="2A72335D"/>
    <w:rsid w:val="2B2E744E"/>
    <w:rsid w:val="2BEF5DD7"/>
    <w:rsid w:val="2D11490D"/>
    <w:rsid w:val="2D836919"/>
    <w:rsid w:val="2E4924A6"/>
    <w:rsid w:val="2F0050B1"/>
    <w:rsid w:val="2F25779D"/>
    <w:rsid w:val="2F8F686D"/>
    <w:rsid w:val="304150EC"/>
    <w:rsid w:val="30B11DBC"/>
    <w:rsid w:val="31197AD2"/>
    <w:rsid w:val="3394598B"/>
    <w:rsid w:val="33D07D9B"/>
    <w:rsid w:val="344E4C3C"/>
    <w:rsid w:val="368C0895"/>
    <w:rsid w:val="3833FE27"/>
    <w:rsid w:val="3A4B4EF0"/>
    <w:rsid w:val="3A557242"/>
    <w:rsid w:val="3AB33B24"/>
    <w:rsid w:val="3B8C0ABE"/>
    <w:rsid w:val="3C9F7103"/>
    <w:rsid w:val="3CEA0596"/>
    <w:rsid w:val="3D0224D7"/>
    <w:rsid w:val="3D6930B5"/>
    <w:rsid w:val="3E0C43C8"/>
    <w:rsid w:val="3E3351A0"/>
    <w:rsid w:val="3E4404A1"/>
    <w:rsid w:val="3F4B26B2"/>
    <w:rsid w:val="3FEFB7C9"/>
    <w:rsid w:val="403F029C"/>
    <w:rsid w:val="410E2DA0"/>
    <w:rsid w:val="41465189"/>
    <w:rsid w:val="424539BD"/>
    <w:rsid w:val="42540E4B"/>
    <w:rsid w:val="42777067"/>
    <w:rsid w:val="42817622"/>
    <w:rsid w:val="42CA5AFE"/>
    <w:rsid w:val="42D92015"/>
    <w:rsid w:val="4531762F"/>
    <w:rsid w:val="45D846BA"/>
    <w:rsid w:val="47312C8A"/>
    <w:rsid w:val="47461953"/>
    <w:rsid w:val="478B1255"/>
    <w:rsid w:val="47EB2504"/>
    <w:rsid w:val="47FF01E7"/>
    <w:rsid w:val="48FF3934"/>
    <w:rsid w:val="494E5FF9"/>
    <w:rsid w:val="496A408C"/>
    <w:rsid w:val="49BB6E3D"/>
    <w:rsid w:val="4A2D4613"/>
    <w:rsid w:val="4BCA00BB"/>
    <w:rsid w:val="4C153407"/>
    <w:rsid w:val="4C3E0AEF"/>
    <w:rsid w:val="4D004912"/>
    <w:rsid w:val="4D0C1571"/>
    <w:rsid w:val="4D690C66"/>
    <w:rsid w:val="4E8C462D"/>
    <w:rsid w:val="4EB8335F"/>
    <w:rsid w:val="4EFB1916"/>
    <w:rsid w:val="51161366"/>
    <w:rsid w:val="51EF78F1"/>
    <w:rsid w:val="5208770C"/>
    <w:rsid w:val="52977191"/>
    <w:rsid w:val="533E2C95"/>
    <w:rsid w:val="53560AD1"/>
    <w:rsid w:val="53F02921"/>
    <w:rsid w:val="54284998"/>
    <w:rsid w:val="55AE0CF2"/>
    <w:rsid w:val="55DF643D"/>
    <w:rsid w:val="55F93022"/>
    <w:rsid w:val="56C91C0B"/>
    <w:rsid w:val="570162CF"/>
    <w:rsid w:val="57076DA5"/>
    <w:rsid w:val="571E2E47"/>
    <w:rsid w:val="581C28CD"/>
    <w:rsid w:val="581F2D7C"/>
    <w:rsid w:val="582C44F5"/>
    <w:rsid w:val="591D2470"/>
    <w:rsid w:val="59276802"/>
    <w:rsid w:val="59503BFD"/>
    <w:rsid w:val="59D4149E"/>
    <w:rsid w:val="59FC67BB"/>
    <w:rsid w:val="5A6F213D"/>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A052A"/>
    <w:rsid w:val="615E7E52"/>
    <w:rsid w:val="61D307AF"/>
    <w:rsid w:val="62554106"/>
    <w:rsid w:val="63561F17"/>
    <w:rsid w:val="63B118BC"/>
    <w:rsid w:val="63C66EC0"/>
    <w:rsid w:val="63D760D7"/>
    <w:rsid w:val="643E7768"/>
    <w:rsid w:val="64462101"/>
    <w:rsid w:val="6460162D"/>
    <w:rsid w:val="64731660"/>
    <w:rsid w:val="648A61D1"/>
    <w:rsid w:val="6664301D"/>
    <w:rsid w:val="66DD32F7"/>
    <w:rsid w:val="670A5BB3"/>
    <w:rsid w:val="67FDB475"/>
    <w:rsid w:val="68221A76"/>
    <w:rsid w:val="68CE68AC"/>
    <w:rsid w:val="68D11FBD"/>
    <w:rsid w:val="69276125"/>
    <w:rsid w:val="695B16D5"/>
    <w:rsid w:val="697C6B9B"/>
    <w:rsid w:val="6B98513E"/>
    <w:rsid w:val="6BC40C68"/>
    <w:rsid w:val="6E934581"/>
    <w:rsid w:val="6EFBD170"/>
    <w:rsid w:val="6F325165"/>
    <w:rsid w:val="6F9E0AAB"/>
    <w:rsid w:val="7039771A"/>
    <w:rsid w:val="70424565"/>
    <w:rsid w:val="710C5E72"/>
    <w:rsid w:val="719E50B9"/>
    <w:rsid w:val="737A10CB"/>
    <w:rsid w:val="73E157AF"/>
    <w:rsid w:val="755516F8"/>
    <w:rsid w:val="7625023F"/>
    <w:rsid w:val="76D54CCA"/>
    <w:rsid w:val="76DF06D7"/>
    <w:rsid w:val="76F784FC"/>
    <w:rsid w:val="77355948"/>
    <w:rsid w:val="776D7079"/>
    <w:rsid w:val="7773427D"/>
    <w:rsid w:val="77FF3C89"/>
    <w:rsid w:val="78047384"/>
    <w:rsid w:val="79BB2FE8"/>
    <w:rsid w:val="79D14584"/>
    <w:rsid w:val="79EE6DBE"/>
    <w:rsid w:val="7CCD0BA2"/>
    <w:rsid w:val="7CF57E0B"/>
    <w:rsid w:val="7D0B1235"/>
    <w:rsid w:val="7D7E3B33"/>
    <w:rsid w:val="7D892BC5"/>
    <w:rsid w:val="7DED7B10"/>
    <w:rsid w:val="7E7E2F05"/>
    <w:rsid w:val="7EBF79BF"/>
    <w:rsid w:val="7F3E56AC"/>
    <w:rsid w:val="7F3F9604"/>
    <w:rsid w:val="7F9056C7"/>
    <w:rsid w:val="7FBA783D"/>
    <w:rsid w:val="7FBEB8E0"/>
    <w:rsid w:val="7FD37E1F"/>
    <w:rsid w:val="7FDFE6E6"/>
    <w:rsid w:val="AFBF7FEE"/>
    <w:rsid w:val="B787FDE3"/>
    <w:rsid w:val="BDD6D118"/>
    <w:rsid w:val="BEF5111A"/>
    <w:rsid w:val="BEFF1632"/>
    <w:rsid w:val="BF1FB41C"/>
    <w:rsid w:val="CF748278"/>
    <w:rsid w:val="DCAF13E4"/>
    <w:rsid w:val="DD56658D"/>
    <w:rsid w:val="DDEF9E11"/>
    <w:rsid w:val="DEBF3D5A"/>
    <w:rsid w:val="DEDFD22C"/>
    <w:rsid w:val="DFFD1604"/>
    <w:rsid w:val="ECFDCEAA"/>
    <w:rsid w:val="ED7ABCD7"/>
    <w:rsid w:val="EEF7CBD0"/>
    <w:rsid w:val="EFBF062A"/>
    <w:rsid w:val="EFD80D4B"/>
    <w:rsid w:val="EFDE1010"/>
    <w:rsid w:val="F17F953E"/>
    <w:rsid w:val="F79FD2DA"/>
    <w:rsid w:val="F7CB1C3B"/>
    <w:rsid w:val="F7FDFECC"/>
    <w:rsid w:val="FBDFA598"/>
    <w:rsid w:val="FBF60718"/>
    <w:rsid w:val="FD7E66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3734</Words>
  <Characters>3976</Characters>
  <Lines>46</Lines>
  <Paragraphs>13</Paragraphs>
  <TotalTime>4</TotalTime>
  <ScaleCrop>false</ScaleCrop>
  <LinksUpToDate>false</LinksUpToDate>
  <CharactersWithSpaces>4053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2014-09-14T18:16:00Z</dcterms:created>
  <dc:creator>备注</dc:creator>
  <cp:lastModifiedBy>兔爸爸</cp:lastModifiedBy>
  <cp:lastPrinted>2021-09-24T16:59:00Z</cp:lastPrinted>
  <dcterms:modified xsi:type="dcterms:W3CDTF">2022-09-30T04:01:59Z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78A7D4283F5A4A7EABC43BBB5549A094</vt:lpwstr>
  </property>
</Properties>
</file>